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FD" w:rsidRDefault="00F16629">
      <w:pPr>
        <w:snapToGrid w:val="0"/>
        <w:spacing w:after="60"/>
        <w:jc w:val="center"/>
      </w:pPr>
      <w:bookmarkStart w:id="0" w:name="_GoBack"/>
      <w:bookmarkEnd w:id="0"/>
      <w:r>
        <w:rPr>
          <w:rFonts w:eastAsia="標楷體"/>
          <w:b/>
          <w:noProof/>
          <w:sz w:val="20"/>
        </w:rPr>
        <mc:AlternateContent>
          <mc:Choice Requires="wps">
            <w:drawing>
              <wp:anchor distT="0" distB="0" distL="114300" distR="114300" simplePos="0" relativeHeight="251658752" behindDoc="0" locked="0" layoutInCell="1" allowOverlap="1">
                <wp:simplePos x="0" y="0"/>
                <wp:positionH relativeFrom="column">
                  <wp:posOffset>8644893</wp:posOffset>
                </wp:positionH>
                <wp:positionV relativeFrom="paragraph">
                  <wp:posOffset>-193038</wp:posOffset>
                </wp:positionV>
                <wp:extent cx="1058546" cy="342900"/>
                <wp:effectExtent l="0" t="0" r="8254" b="0"/>
                <wp:wrapNone/>
                <wp:docPr id="1" name="Text Box 4"/>
                <wp:cNvGraphicFramePr/>
                <a:graphic xmlns:a="http://schemas.openxmlformats.org/drawingml/2006/main">
                  <a:graphicData uri="http://schemas.microsoft.com/office/word/2010/wordprocessingShape">
                    <wps:wsp>
                      <wps:cNvSpPr txBox="1"/>
                      <wps:spPr>
                        <a:xfrm>
                          <a:off x="0" y="0"/>
                          <a:ext cx="1058546" cy="342900"/>
                        </a:xfrm>
                        <a:prstGeom prst="rect">
                          <a:avLst/>
                        </a:prstGeom>
                        <a:solidFill>
                          <a:srgbClr val="FFFFFF"/>
                        </a:solidFill>
                        <a:ln>
                          <a:noFill/>
                          <a:prstDash/>
                        </a:ln>
                      </wps:spPr>
                      <wps:txbx>
                        <w:txbxContent>
                          <w:p w:rsidR="00F729FD" w:rsidRDefault="00F16629">
                            <w:r>
                              <w:t>Tec109-NEW</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0.7pt;margin-top:-15.2pt;width:83.35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" stroked="f">
                <v:textbox>
                  <w:txbxContent>
                    <w:p w:rsidR="00F729FD" w:rsidRDefault="00F16629">
                      <w:r>
                        <w:t>Tec109-NEW</w:t>
                      </w:r>
                    </w:p>
                  </w:txbxContent>
                </v:textbox>
              </v:shape>
            </w:pict>
          </mc:Fallback>
        </mc:AlternateContent>
      </w:r>
      <w:r>
        <w:rPr>
          <w:rFonts w:eastAsia="標楷體"/>
          <w:b/>
          <w:noProof/>
          <w:sz w:val="20"/>
        </w:rPr>
        <mc:AlternateContent>
          <mc:Choice Requires="wps">
            <w:drawing>
              <wp:anchor distT="0" distB="0" distL="114300" distR="114300" simplePos="0" relativeHeight="251657728" behindDoc="0" locked="0" layoutInCell="1" allowOverlap="1">
                <wp:simplePos x="0" y="0"/>
                <wp:positionH relativeFrom="column">
                  <wp:posOffset>-152403</wp:posOffset>
                </wp:positionH>
                <wp:positionV relativeFrom="paragraph">
                  <wp:posOffset>-114300</wp:posOffset>
                </wp:positionV>
                <wp:extent cx="1371600" cy="342900"/>
                <wp:effectExtent l="0" t="0" r="19050" b="19050"/>
                <wp:wrapNone/>
                <wp:docPr id="2"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rgbClr val="FFFFFF"/>
                        </a:solidFill>
                        <a:ln w="9528">
                          <a:solidFill>
                            <a:srgbClr val="000000"/>
                          </a:solidFill>
                          <a:prstDash val="solid"/>
                        </a:ln>
                      </wps:spPr>
                      <wps:txbx>
                        <w:txbxContent>
                          <w:p w:rsidR="00F729FD" w:rsidRDefault="00F16629">
                            <w:r>
                              <w:t>學程編號：</w:t>
                            </w:r>
                          </w:p>
                        </w:txbxContent>
                      </wps:txbx>
                      <wps:bodyPr vert="horz" wrap="square" lIns="0" tIns="45720" rIns="0" bIns="45720" anchor="t" anchorCtr="0" compatLnSpc="0">
                        <a:noAutofit/>
                      </wps:bodyPr>
                    </wps:wsp>
                  </a:graphicData>
                </a:graphic>
              </wp:anchor>
            </w:drawing>
          </mc:Choice>
          <mc:Fallback>
            <w:pict>
              <v:shape id="Text Box 3" o:spid="_x0000_s1027" type="#_x0000_t202" style="position:absolute;left:0;text-align:left;margin-left:-12pt;margin-top:-9pt;width:108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" strokeweight=".26467mm">
                <v:textbox inset="0,,0">
                  <w:txbxContent>
                    <w:p w:rsidR="00F729FD" w:rsidRDefault="00F16629">
                      <w:r>
                        <w:t>學程編號：</w:t>
                      </w:r>
                    </w:p>
                  </w:txbxContent>
                </v:textbox>
              </v:shape>
            </w:pict>
          </mc:Fallback>
        </mc:AlternateContent>
      </w:r>
      <w:r>
        <w:rPr>
          <w:rFonts w:eastAsia="標楷體"/>
          <w:b/>
          <w:sz w:val="40"/>
        </w:rPr>
        <w:t>國立臺北科技大學教育學程教育專業課程學分抵免申請表</w:t>
      </w:r>
    </w:p>
    <w:p w:rsidR="00F729FD" w:rsidRDefault="00F16629">
      <w:pPr>
        <w:spacing w:before="60" w:after="60"/>
        <w:ind w:hanging="360"/>
        <w:rPr>
          <w:rFonts w:eastAsia="標楷體"/>
        </w:rPr>
      </w:pPr>
      <w:r>
        <w:rPr>
          <w:rFonts w:eastAsia="標楷體"/>
        </w:rPr>
        <w:t>姓名：</w:t>
      </w:r>
      <w:r>
        <w:rPr>
          <w:rFonts w:eastAsia="標楷體"/>
        </w:rPr>
        <w:t xml:space="preserve">               </w:t>
      </w:r>
      <w:r>
        <w:rPr>
          <w:rFonts w:eastAsia="標楷體"/>
        </w:rPr>
        <w:t>就讀之系科組班別：</w:t>
      </w:r>
      <w:r>
        <w:rPr>
          <w:rFonts w:eastAsia="標楷體"/>
        </w:rPr>
        <w:t>□</w:t>
      </w:r>
      <w:r>
        <w:rPr>
          <w:rFonts w:eastAsia="標楷體"/>
        </w:rPr>
        <w:t>四技（日間部）</w:t>
      </w:r>
      <w:r>
        <w:rPr>
          <w:rFonts w:eastAsia="標楷體"/>
        </w:rPr>
        <w:t xml:space="preserve"> □</w:t>
      </w:r>
      <w:r>
        <w:rPr>
          <w:rFonts w:eastAsia="標楷體"/>
        </w:rPr>
        <w:t>研究所（日）</w:t>
      </w:r>
      <w:r>
        <w:rPr>
          <w:rFonts w:eastAsia="標楷體"/>
        </w:rPr>
        <w:t xml:space="preserve"> □</w:t>
      </w:r>
      <w:r>
        <w:rPr>
          <w:rFonts w:eastAsia="標楷體"/>
        </w:rPr>
        <w:t>研究所（在職專班）</w:t>
      </w:r>
      <w:r>
        <w:rPr>
          <w:rFonts w:eastAsia="標楷體"/>
        </w:rPr>
        <w:t>□</w:t>
      </w:r>
      <w:r>
        <w:rPr>
          <w:rFonts w:eastAsia="標楷體"/>
        </w:rPr>
        <w:t>進修部</w:t>
      </w:r>
      <w:r>
        <w:rPr>
          <w:rFonts w:eastAsia="標楷體"/>
        </w:rPr>
        <w:t xml:space="preserve"> □</w:t>
      </w:r>
      <w:r>
        <w:rPr>
          <w:rFonts w:eastAsia="標楷體"/>
        </w:rPr>
        <w:t>進修學院</w:t>
      </w:r>
      <w:r>
        <w:rPr>
          <w:rFonts w:eastAsia="標楷體"/>
        </w:rPr>
        <w:t xml:space="preserve">     </w:t>
      </w:r>
    </w:p>
    <w:p w:rsidR="00F729FD" w:rsidRDefault="00F16629">
      <w:pPr>
        <w:spacing w:before="60" w:after="60"/>
        <w:ind w:hanging="360"/>
      </w:pPr>
      <w:r>
        <w:rPr>
          <w:rFonts w:eastAsia="標楷體"/>
        </w:rPr>
        <w:t>學號：</w:t>
      </w:r>
      <w:r>
        <w:rPr>
          <w:rFonts w:eastAsia="標楷體"/>
        </w:rPr>
        <w:t xml:space="preserve">               </w:t>
      </w:r>
      <w:r>
        <w:rPr>
          <w:rFonts w:eastAsia="標楷體"/>
        </w:rPr>
        <w:t>，</w:t>
      </w:r>
      <w:r>
        <w:rPr>
          <w:rFonts w:eastAsia="標楷體"/>
          <w:u w:val="single"/>
        </w:rPr>
        <w:t xml:space="preserve">                              </w:t>
      </w:r>
      <w:r>
        <w:rPr>
          <w:rFonts w:eastAsia="標楷體"/>
        </w:rPr>
        <w:t>糸</w:t>
      </w:r>
      <w:r>
        <w:rPr>
          <w:rFonts w:eastAsia="標楷體"/>
        </w:rPr>
        <w:t>(</w:t>
      </w:r>
      <w:r>
        <w:rPr>
          <w:rFonts w:eastAsia="標楷體"/>
        </w:rPr>
        <w:t>所</w:t>
      </w:r>
      <w:r>
        <w:rPr>
          <w:rFonts w:eastAsia="標楷體"/>
        </w:rPr>
        <w:t xml:space="preserve">) </w:t>
      </w:r>
      <w:r>
        <w:rPr>
          <w:rFonts w:eastAsia="標楷體"/>
          <w:u w:val="single"/>
        </w:rPr>
        <w:t xml:space="preserve">    </w:t>
      </w:r>
      <w:r>
        <w:rPr>
          <w:rFonts w:eastAsia="標楷體"/>
        </w:rPr>
        <w:t>年</w:t>
      </w:r>
      <w:r>
        <w:rPr>
          <w:rFonts w:eastAsia="標楷體"/>
          <w:u w:val="single"/>
        </w:rPr>
        <w:t xml:space="preserve">    </w:t>
      </w:r>
      <w:r>
        <w:rPr>
          <w:rFonts w:eastAsia="標楷體"/>
        </w:rPr>
        <w:t>班</w:t>
      </w:r>
      <w:r>
        <w:rPr>
          <w:rFonts w:eastAsia="標楷體"/>
        </w:rPr>
        <w:t xml:space="preserve">                           </w:t>
      </w:r>
      <w:r>
        <w:rPr>
          <w:rFonts w:eastAsia="標楷體"/>
        </w:rPr>
        <w:t>申請日期：民國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5669" w:type="dxa"/>
        <w:tblInd w:w="-332" w:type="dxa"/>
        <w:tblLayout w:type="fixed"/>
        <w:tblCellMar>
          <w:left w:w="10" w:type="dxa"/>
          <w:right w:w="10" w:type="dxa"/>
        </w:tblCellMar>
        <w:tblLook w:val="0000" w:firstRow="0" w:lastRow="0" w:firstColumn="0" w:lastColumn="0" w:noHBand="0" w:noVBand="0"/>
      </w:tblPr>
      <w:tblGrid>
        <w:gridCol w:w="388"/>
        <w:gridCol w:w="1390"/>
        <w:gridCol w:w="1276"/>
        <w:gridCol w:w="2225"/>
        <w:gridCol w:w="779"/>
        <w:gridCol w:w="780"/>
        <w:gridCol w:w="1417"/>
        <w:gridCol w:w="993"/>
        <w:gridCol w:w="2693"/>
        <w:gridCol w:w="709"/>
        <w:gridCol w:w="3019"/>
      </w:tblGrid>
      <w:tr w:rsidR="00F729FD">
        <w:tblPrEx>
          <w:tblCellMar>
            <w:top w:w="0" w:type="dxa"/>
            <w:bottom w:w="0" w:type="dxa"/>
          </w:tblCellMar>
        </w:tblPrEx>
        <w:trPr>
          <w:cantSplit/>
        </w:trPr>
        <w:tc>
          <w:tcPr>
            <w:tcW w:w="388"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rPr>
            </w:pPr>
            <w:r>
              <w:rPr>
                <w:rFonts w:eastAsia="標楷體"/>
              </w:rPr>
              <w:t>編號</w:t>
            </w:r>
          </w:p>
        </w:tc>
        <w:tc>
          <w:tcPr>
            <w:tcW w:w="7867" w:type="dxa"/>
            <w:gridSpan w:val="6"/>
            <w:tcBorders>
              <w:top w:val="single" w:sz="12"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8"/>
              </w:rPr>
            </w:pPr>
            <w:r>
              <w:rPr>
                <w:rFonts w:eastAsia="標楷體"/>
                <w:sz w:val="28"/>
              </w:rPr>
              <w:t>原修習課程（僅列成績達</w:t>
            </w:r>
            <w:r>
              <w:rPr>
                <w:rFonts w:eastAsia="標楷體"/>
                <w:sz w:val="28"/>
              </w:rPr>
              <w:t>70</w:t>
            </w:r>
            <w:r>
              <w:rPr>
                <w:rFonts w:eastAsia="標楷體"/>
                <w:sz w:val="28"/>
              </w:rPr>
              <w:t>分之科目）</w:t>
            </w:r>
          </w:p>
        </w:tc>
        <w:tc>
          <w:tcPr>
            <w:tcW w:w="4395" w:type="dxa"/>
            <w:gridSpan w:val="3"/>
            <w:tcBorders>
              <w:top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8"/>
              </w:rPr>
            </w:pPr>
            <w:r>
              <w:rPr>
                <w:rFonts w:eastAsia="標楷體"/>
                <w:sz w:val="28"/>
              </w:rPr>
              <w:t>擬抵免科目</w:t>
            </w:r>
          </w:p>
        </w:tc>
        <w:tc>
          <w:tcPr>
            <w:tcW w:w="3019" w:type="dxa"/>
            <w:vMerge w:val="restart"/>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pacing w:val="-10"/>
              </w:rPr>
            </w:pPr>
            <w:r>
              <w:rPr>
                <w:rFonts w:eastAsia="標楷體"/>
                <w:spacing w:val="-10"/>
              </w:rPr>
              <w:t>核定</w:t>
            </w:r>
          </w:p>
        </w:tc>
      </w:tr>
      <w:tr w:rsidR="00F729FD">
        <w:tblPrEx>
          <w:tblCellMar>
            <w:top w:w="0" w:type="dxa"/>
            <w:bottom w:w="0" w:type="dxa"/>
          </w:tblCellMar>
        </w:tblPrEx>
        <w:trPr>
          <w:cantSplit/>
        </w:trPr>
        <w:tc>
          <w:tcPr>
            <w:tcW w:w="388"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729FD">
            <w:pPr>
              <w:jc w:val="center"/>
              <w:rPr>
                <w:rFonts w:eastAsia="標楷體"/>
              </w:rPr>
            </w:pPr>
          </w:p>
        </w:tc>
        <w:tc>
          <w:tcPr>
            <w:tcW w:w="1390"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原所屬學校</w:t>
            </w:r>
            <w:r>
              <w:rPr>
                <w:rFonts w:eastAsia="標楷體"/>
                <w:sz w:val="20"/>
              </w:rPr>
              <w:t>/</w:t>
            </w:r>
          </w:p>
          <w:p w:rsidR="00F729FD" w:rsidRDefault="00F16629">
            <w:pPr>
              <w:jc w:val="center"/>
              <w:rPr>
                <w:rFonts w:eastAsia="標楷體"/>
                <w:sz w:val="20"/>
              </w:rPr>
            </w:pPr>
            <w:r>
              <w:rPr>
                <w:rFonts w:eastAsia="標楷體"/>
                <w:sz w:val="20"/>
              </w:rPr>
              <w:t>系別</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學年度</w:t>
            </w:r>
            <w:r>
              <w:rPr>
                <w:rFonts w:eastAsia="標楷體"/>
                <w:sz w:val="20"/>
              </w:rPr>
              <w:t>/</w:t>
            </w:r>
            <w:r>
              <w:rPr>
                <w:rFonts w:eastAsia="標楷體"/>
                <w:sz w:val="20"/>
              </w:rPr>
              <w:t>學期</w:t>
            </w:r>
          </w:p>
        </w:tc>
        <w:tc>
          <w:tcPr>
            <w:tcW w:w="222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科目名稱</w:t>
            </w:r>
          </w:p>
        </w:tc>
        <w:tc>
          <w:tcPr>
            <w:tcW w:w="77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學分數</w:t>
            </w:r>
          </w:p>
        </w:tc>
        <w:tc>
          <w:tcPr>
            <w:tcW w:w="7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分數</w:t>
            </w:r>
          </w:p>
        </w:tc>
        <w:tc>
          <w:tcPr>
            <w:tcW w:w="1417"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F729FD" w:rsidRDefault="00F16629">
            <w:pPr>
              <w:jc w:val="center"/>
            </w:pPr>
            <w:r>
              <w:rPr>
                <w:rFonts w:eastAsia="標楷體"/>
              </w:rPr>
              <w:t>預修</w:t>
            </w:r>
            <w:r>
              <w:rPr>
                <w:rFonts w:eastAsia="標楷體"/>
              </w:rPr>
              <w:t>/</w:t>
            </w:r>
            <w:r>
              <w:rPr>
                <w:rFonts w:eastAsia="標楷體"/>
              </w:rPr>
              <w:t>抵免</w:t>
            </w:r>
          </w:p>
        </w:tc>
        <w:tc>
          <w:tcPr>
            <w:tcW w:w="993"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課程編碼</w:t>
            </w:r>
          </w:p>
        </w:tc>
        <w:tc>
          <w:tcPr>
            <w:tcW w:w="2693"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科目名稱</w:t>
            </w:r>
          </w:p>
        </w:tc>
        <w:tc>
          <w:tcPr>
            <w:tcW w:w="70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jc w:val="center"/>
              <w:rPr>
                <w:rFonts w:eastAsia="標楷體"/>
                <w:sz w:val="20"/>
              </w:rPr>
            </w:pPr>
            <w:r>
              <w:rPr>
                <w:rFonts w:eastAsia="標楷體"/>
                <w:sz w:val="20"/>
              </w:rPr>
              <w:t>學分數</w:t>
            </w:r>
            <w:r>
              <w:rPr>
                <w:rFonts w:eastAsia="標楷體"/>
                <w:sz w:val="20"/>
              </w:rPr>
              <w:t xml:space="preserve"> </w:t>
            </w:r>
          </w:p>
        </w:tc>
        <w:tc>
          <w:tcPr>
            <w:tcW w:w="3019" w:type="dxa"/>
            <w:vMerge/>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F729FD" w:rsidRDefault="00F729FD">
            <w:pPr>
              <w:jc w:val="center"/>
              <w:rPr>
                <w:rFonts w:eastAsia="標楷體"/>
              </w:rPr>
            </w:pPr>
          </w:p>
        </w:tc>
      </w:tr>
      <w:tr w:rsidR="00F729FD">
        <w:tblPrEx>
          <w:tblCellMar>
            <w:top w:w="0" w:type="dxa"/>
            <w:bottom w:w="0" w:type="dxa"/>
          </w:tblCellMar>
        </w:tblPrEx>
        <w:trPr>
          <w:cantSplit/>
          <w:trHeight w:val="652"/>
        </w:trPr>
        <w:tc>
          <w:tcPr>
            <w:tcW w:w="388"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1</w:t>
            </w:r>
          </w:p>
        </w:tc>
        <w:tc>
          <w:tcPr>
            <w:tcW w:w="1390"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22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7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8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417" w:type="dxa"/>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w:t>
            </w:r>
            <w:r>
              <w:rPr>
                <w:rFonts w:eastAsia="標楷體"/>
              </w:rPr>
              <w:t>預修</w:t>
            </w:r>
            <w:r>
              <w:rPr>
                <w:rFonts w:eastAsia="標楷體"/>
              </w:rPr>
              <w:t>□</w:t>
            </w:r>
            <w:r>
              <w:rPr>
                <w:rFonts w:eastAsia="標楷體"/>
              </w:rPr>
              <w:t>抵免</w:t>
            </w:r>
          </w:p>
        </w:tc>
        <w:tc>
          <w:tcPr>
            <w:tcW w:w="993"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693"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09"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3019" w:type="dxa"/>
            <w:tcBorders>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spacing w:line="280" w:lineRule="exact"/>
              <w:jc w:val="both"/>
              <w:rPr>
                <w:rFonts w:eastAsia="標楷體"/>
              </w:rPr>
            </w:pPr>
            <w:r>
              <w:rPr>
                <w:rFonts w:eastAsia="標楷體"/>
              </w:rPr>
              <w:t xml:space="preserve"> □</w:t>
            </w:r>
            <w:r>
              <w:rPr>
                <w:rFonts w:eastAsia="標楷體"/>
              </w:rPr>
              <w:t>通過</w:t>
            </w:r>
          </w:p>
          <w:p w:rsidR="00F729FD" w:rsidRDefault="00F16629">
            <w:pPr>
              <w:spacing w:line="280" w:lineRule="exact"/>
              <w:jc w:val="both"/>
              <w:rPr>
                <w:rFonts w:eastAsia="標楷體"/>
              </w:rPr>
            </w:pPr>
            <w:r>
              <w:rPr>
                <w:rFonts w:eastAsia="標楷體"/>
              </w:rPr>
              <w:t xml:space="preserve"> □</w:t>
            </w:r>
            <w:r>
              <w:rPr>
                <w:rFonts w:eastAsia="標楷體"/>
              </w:rPr>
              <w:t>課程學分超過</w:t>
            </w:r>
            <w:r>
              <w:rPr>
                <w:rFonts w:eastAsia="標楷體"/>
              </w:rPr>
              <w:t>10</w:t>
            </w:r>
            <w:r>
              <w:rPr>
                <w:rFonts w:eastAsia="標楷體"/>
              </w:rPr>
              <w:t>年已失效</w:t>
            </w:r>
          </w:p>
          <w:p w:rsidR="00F729FD" w:rsidRDefault="00F16629">
            <w:pPr>
              <w:spacing w:line="280" w:lineRule="exact"/>
              <w:jc w:val="both"/>
              <w:rPr>
                <w:rFonts w:eastAsia="標楷體"/>
              </w:rPr>
            </w:pPr>
            <w:r>
              <w:rPr>
                <w:rFonts w:eastAsia="標楷體"/>
              </w:rPr>
              <w:t xml:space="preserve"> □</w:t>
            </w:r>
            <w:r>
              <w:rPr>
                <w:rFonts w:eastAsia="標楷體"/>
              </w:rPr>
              <w:t>不符最新版本課程架構</w:t>
            </w:r>
          </w:p>
        </w:tc>
      </w:tr>
      <w:tr w:rsidR="00F729FD">
        <w:tblPrEx>
          <w:tblCellMar>
            <w:top w:w="0" w:type="dxa"/>
            <w:bottom w:w="0" w:type="dxa"/>
          </w:tblCellMar>
        </w:tblPrEx>
        <w:trPr>
          <w:cantSplit/>
          <w:trHeight w:val="652"/>
        </w:trPr>
        <w:tc>
          <w:tcPr>
            <w:tcW w:w="388"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2</w:t>
            </w:r>
          </w:p>
        </w:tc>
        <w:tc>
          <w:tcPr>
            <w:tcW w:w="13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w:t>
            </w:r>
            <w:r>
              <w:rPr>
                <w:rFonts w:eastAsia="標楷體"/>
              </w:rPr>
              <w:t>預修</w:t>
            </w:r>
            <w:r>
              <w:rPr>
                <w:rFonts w:eastAsia="標楷體"/>
              </w:rPr>
              <w:t>□</w:t>
            </w:r>
            <w:r>
              <w:rPr>
                <w:rFonts w:eastAsia="標楷體"/>
              </w:rPr>
              <w:t>抵免</w:t>
            </w:r>
          </w:p>
        </w:tc>
        <w:tc>
          <w:tcPr>
            <w:tcW w:w="9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6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3019"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spacing w:line="280" w:lineRule="exact"/>
              <w:jc w:val="both"/>
              <w:rPr>
                <w:rFonts w:eastAsia="標楷體"/>
              </w:rPr>
            </w:pPr>
            <w:r>
              <w:rPr>
                <w:rFonts w:eastAsia="標楷體"/>
              </w:rPr>
              <w:t xml:space="preserve"> □</w:t>
            </w:r>
            <w:r>
              <w:rPr>
                <w:rFonts w:eastAsia="標楷體"/>
              </w:rPr>
              <w:t>通過</w:t>
            </w:r>
          </w:p>
          <w:p w:rsidR="00F729FD" w:rsidRDefault="00F16629">
            <w:pPr>
              <w:spacing w:line="280" w:lineRule="exact"/>
              <w:jc w:val="both"/>
              <w:rPr>
                <w:rFonts w:eastAsia="標楷體"/>
              </w:rPr>
            </w:pPr>
            <w:r>
              <w:rPr>
                <w:rFonts w:eastAsia="標楷體"/>
              </w:rPr>
              <w:t xml:space="preserve"> □</w:t>
            </w:r>
            <w:r>
              <w:rPr>
                <w:rFonts w:eastAsia="標楷體"/>
              </w:rPr>
              <w:t>課程學分超過</w:t>
            </w:r>
            <w:r>
              <w:rPr>
                <w:rFonts w:eastAsia="標楷體"/>
              </w:rPr>
              <w:t>10</w:t>
            </w:r>
            <w:r>
              <w:rPr>
                <w:rFonts w:eastAsia="標楷體"/>
              </w:rPr>
              <w:t>年已失效</w:t>
            </w:r>
          </w:p>
          <w:p w:rsidR="00F729FD" w:rsidRDefault="00F16629">
            <w:pPr>
              <w:spacing w:line="280" w:lineRule="exact"/>
              <w:jc w:val="both"/>
              <w:rPr>
                <w:rFonts w:eastAsia="標楷體"/>
              </w:rPr>
            </w:pPr>
            <w:r>
              <w:rPr>
                <w:rFonts w:eastAsia="標楷體"/>
              </w:rPr>
              <w:t xml:space="preserve"> □</w:t>
            </w:r>
            <w:r>
              <w:rPr>
                <w:rFonts w:eastAsia="標楷體"/>
              </w:rPr>
              <w:t>不符最新版本課程架構</w:t>
            </w:r>
          </w:p>
        </w:tc>
      </w:tr>
      <w:tr w:rsidR="00F729FD">
        <w:tblPrEx>
          <w:tblCellMar>
            <w:top w:w="0" w:type="dxa"/>
            <w:bottom w:w="0" w:type="dxa"/>
          </w:tblCellMar>
        </w:tblPrEx>
        <w:trPr>
          <w:cantSplit/>
          <w:trHeight w:val="652"/>
        </w:trPr>
        <w:tc>
          <w:tcPr>
            <w:tcW w:w="388"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3</w:t>
            </w:r>
          </w:p>
        </w:tc>
        <w:tc>
          <w:tcPr>
            <w:tcW w:w="13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w:t>
            </w:r>
            <w:r>
              <w:rPr>
                <w:rFonts w:eastAsia="標楷體"/>
              </w:rPr>
              <w:t>預修</w:t>
            </w:r>
            <w:r>
              <w:rPr>
                <w:rFonts w:eastAsia="標楷體"/>
              </w:rPr>
              <w:t>□</w:t>
            </w:r>
            <w:r>
              <w:rPr>
                <w:rFonts w:eastAsia="標楷體"/>
              </w:rPr>
              <w:t>抵免</w:t>
            </w:r>
          </w:p>
        </w:tc>
        <w:tc>
          <w:tcPr>
            <w:tcW w:w="9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6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3019"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spacing w:line="280" w:lineRule="exact"/>
              <w:jc w:val="both"/>
              <w:rPr>
                <w:rFonts w:eastAsia="標楷體"/>
              </w:rPr>
            </w:pPr>
            <w:r>
              <w:rPr>
                <w:rFonts w:eastAsia="標楷體"/>
              </w:rPr>
              <w:t xml:space="preserve"> □</w:t>
            </w:r>
            <w:r>
              <w:rPr>
                <w:rFonts w:eastAsia="標楷體"/>
              </w:rPr>
              <w:t>通過</w:t>
            </w:r>
          </w:p>
          <w:p w:rsidR="00F729FD" w:rsidRDefault="00F16629">
            <w:pPr>
              <w:spacing w:line="280" w:lineRule="exact"/>
              <w:jc w:val="both"/>
              <w:rPr>
                <w:rFonts w:eastAsia="標楷體"/>
              </w:rPr>
            </w:pPr>
            <w:r>
              <w:rPr>
                <w:rFonts w:eastAsia="標楷體"/>
              </w:rPr>
              <w:t xml:space="preserve"> □</w:t>
            </w:r>
            <w:r>
              <w:rPr>
                <w:rFonts w:eastAsia="標楷體"/>
              </w:rPr>
              <w:t>課程學分超過</w:t>
            </w:r>
            <w:r>
              <w:rPr>
                <w:rFonts w:eastAsia="標楷體"/>
              </w:rPr>
              <w:t>10</w:t>
            </w:r>
            <w:r>
              <w:rPr>
                <w:rFonts w:eastAsia="標楷體"/>
              </w:rPr>
              <w:t>年已失效</w:t>
            </w:r>
          </w:p>
          <w:p w:rsidR="00F729FD" w:rsidRDefault="00F16629">
            <w:pPr>
              <w:spacing w:line="280" w:lineRule="exact"/>
              <w:jc w:val="both"/>
              <w:rPr>
                <w:rFonts w:eastAsia="標楷體"/>
              </w:rPr>
            </w:pPr>
            <w:r>
              <w:rPr>
                <w:rFonts w:eastAsia="標楷體"/>
              </w:rPr>
              <w:t xml:space="preserve"> □</w:t>
            </w:r>
            <w:r>
              <w:rPr>
                <w:rFonts w:eastAsia="標楷體"/>
              </w:rPr>
              <w:t>不符最新版本課程架構</w:t>
            </w:r>
          </w:p>
        </w:tc>
      </w:tr>
      <w:tr w:rsidR="00F729FD">
        <w:tblPrEx>
          <w:tblCellMar>
            <w:top w:w="0" w:type="dxa"/>
            <w:bottom w:w="0" w:type="dxa"/>
          </w:tblCellMar>
        </w:tblPrEx>
        <w:trPr>
          <w:cantSplit/>
          <w:trHeight w:val="652"/>
        </w:trPr>
        <w:tc>
          <w:tcPr>
            <w:tcW w:w="388"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4</w:t>
            </w:r>
          </w:p>
        </w:tc>
        <w:tc>
          <w:tcPr>
            <w:tcW w:w="13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w:t>
            </w:r>
            <w:r>
              <w:rPr>
                <w:rFonts w:eastAsia="標楷體"/>
              </w:rPr>
              <w:t>預修</w:t>
            </w:r>
            <w:r>
              <w:rPr>
                <w:rFonts w:eastAsia="標楷體"/>
              </w:rPr>
              <w:t>□</w:t>
            </w:r>
            <w:r>
              <w:rPr>
                <w:rFonts w:eastAsia="標楷體"/>
              </w:rPr>
              <w:t>抵免</w:t>
            </w:r>
          </w:p>
        </w:tc>
        <w:tc>
          <w:tcPr>
            <w:tcW w:w="9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6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3019"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729FD" w:rsidRDefault="00F16629">
            <w:pPr>
              <w:spacing w:line="280" w:lineRule="exact"/>
              <w:jc w:val="both"/>
              <w:rPr>
                <w:rFonts w:eastAsia="標楷體"/>
              </w:rPr>
            </w:pPr>
            <w:r>
              <w:rPr>
                <w:rFonts w:eastAsia="標楷體"/>
              </w:rPr>
              <w:t xml:space="preserve"> □</w:t>
            </w:r>
            <w:r>
              <w:rPr>
                <w:rFonts w:eastAsia="標楷體"/>
              </w:rPr>
              <w:t>通過</w:t>
            </w:r>
          </w:p>
          <w:p w:rsidR="00F729FD" w:rsidRDefault="00F16629">
            <w:pPr>
              <w:spacing w:line="280" w:lineRule="exact"/>
              <w:jc w:val="both"/>
              <w:rPr>
                <w:rFonts w:eastAsia="標楷體"/>
              </w:rPr>
            </w:pPr>
            <w:r>
              <w:rPr>
                <w:rFonts w:eastAsia="標楷體"/>
              </w:rPr>
              <w:t xml:space="preserve"> □</w:t>
            </w:r>
            <w:r>
              <w:rPr>
                <w:rFonts w:eastAsia="標楷體"/>
              </w:rPr>
              <w:t>課程學分超過</w:t>
            </w:r>
            <w:r>
              <w:rPr>
                <w:rFonts w:eastAsia="標楷體"/>
              </w:rPr>
              <w:t>10</w:t>
            </w:r>
            <w:r>
              <w:rPr>
                <w:rFonts w:eastAsia="標楷體"/>
              </w:rPr>
              <w:t>年已失效</w:t>
            </w:r>
          </w:p>
          <w:p w:rsidR="00F729FD" w:rsidRDefault="00F16629">
            <w:pPr>
              <w:spacing w:line="280" w:lineRule="exact"/>
              <w:jc w:val="both"/>
              <w:rPr>
                <w:rFonts w:eastAsia="標楷體"/>
              </w:rPr>
            </w:pPr>
            <w:r>
              <w:rPr>
                <w:rFonts w:eastAsia="標楷體"/>
              </w:rPr>
              <w:t xml:space="preserve"> □</w:t>
            </w:r>
            <w:r>
              <w:rPr>
                <w:rFonts w:eastAsia="標楷體"/>
              </w:rPr>
              <w:t>不符最新版本課程架構</w:t>
            </w:r>
          </w:p>
        </w:tc>
      </w:tr>
      <w:tr w:rsidR="00F729FD">
        <w:tblPrEx>
          <w:tblCellMar>
            <w:top w:w="0" w:type="dxa"/>
            <w:bottom w:w="0" w:type="dxa"/>
          </w:tblCellMar>
        </w:tblPrEx>
        <w:trPr>
          <w:cantSplit/>
          <w:trHeight w:val="652"/>
        </w:trPr>
        <w:tc>
          <w:tcPr>
            <w:tcW w:w="388"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5</w:t>
            </w:r>
          </w:p>
        </w:tc>
        <w:tc>
          <w:tcPr>
            <w:tcW w:w="1390"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22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7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1417" w:type="dxa"/>
            <w:tcBorders>
              <w:top w:val="single" w:sz="4" w:space="0" w:color="000000"/>
              <w:left w:val="single" w:sz="4"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F729FD" w:rsidRDefault="00F16629">
            <w:pPr>
              <w:spacing w:line="280" w:lineRule="exact"/>
              <w:jc w:val="center"/>
              <w:rPr>
                <w:rFonts w:eastAsia="標楷體"/>
              </w:rPr>
            </w:pPr>
            <w:r>
              <w:rPr>
                <w:rFonts w:eastAsia="標楷體"/>
              </w:rPr>
              <w:t>□</w:t>
            </w:r>
            <w:r>
              <w:rPr>
                <w:rFonts w:eastAsia="標楷體"/>
              </w:rPr>
              <w:t>預修</w:t>
            </w:r>
            <w:r>
              <w:rPr>
                <w:rFonts w:eastAsia="標楷體"/>
              </w:rPr>
              <w:t>□</w:t>
            </w:r>
            <w:r>
              <w:rPr>
                <w:rFonts w:eastAsia="標楷體"/>
              </w:rPr>
              <w:t>抵免</w:t>
            </w:r>
          </w:p>
        </w:tc>
        <w:tc>
          <w:tcPr>
            <w:tcW w:w="993"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2693"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709" w:type="dxa"/>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F729FD" w:rsidRDefault="00F729FD">
            <w:pPr>
              <w:spacing w:line="280" w:lineRule="exact"/>
              <w:jc w:val="center"/>
              <w:rPr>
                <w:rFonts w:eastAsia="標楷體"/>
              </w:rPr>
            </w:pPr>
          </w:p>
        </w:tc>
        <w:tc>
          <w:tcPr>
            <w:tcW w:w="3019"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F729FD" w:rsidRDefault="00F16629">
            <w:pPr>
              <w:spacing w:line="280" w:lineRule="exact"/>
              <w:jc w:val="both"/>
              <w:rPr>
                <w:rFonts w:eastAsia="標楷體"/>
              </w:rPr>
            </w:pPr>
            <w:r>
              <w:rPr>
                <w:rFonts w:eastAsia="標楷體"/>
              </w:rPr>
              <w:t xml:space="preserve"> □</w:t>
            </w:r>
            <w:r>
              <w:rPr>
                <w:rFonts w:eastAsia="標楷體"/>
              </w:rPr>
              <w:t>通過</w:t>
            </w:r>
          </w:p>
          <w:p w:rsidR="00F729FD" w:rsidRDefault="00F16629">
            <w:pPr>
              <w:spacing w:line="280" w:lineRule="exact"/>
              <w:jc w:val="both"/>
              <w:rPr>
                <w:rFonts w:eastAsia="標楷體"/>
              </w:rPr>
            </w:pPr>
            <w:r>
              <w:rPr>
                <w:rFonts w:eastAsia="標楷體"/>
              </w:rPr>
              <w:t xml:space="preserve"> □</w:t>
            </w:r>
            <w:r>
              <w:rPr>
                <w:rFonts w:eastAsia="標楷體"/>
              </w:rPr>
              <w:t>課程學分超過</w:t>
            </w:r>
            <w:r>
              <w:rPr>
                <w:rFonts w:eastAsia="標楷體"/>
              </w:rPr>
              <w:t>10</w:t>
            </w:r>
            <w:r>
              <w:rPr>
                <w:rFonts w:eastAsia="標楷體"/>
              </w:rPr>
              <w:t>年已失效</w:t>
            </w:r>
          </w:p>
          <w:p w:rsidR="00F729FD" w:rsidRDefault="00F16629">
            <w:pPr>
              <w:spacing w:line="280" w:lineRule="exact"/>
              <w:jc w:val="both"/>
              <w:rPr>
                <w:rFonts w:eastAsia="標楷體"/>
              </w:rPr>
            </w:pPr>
            <w:r>
              <w:rPr>
                <w:rFonts w:eastAsia="標楷體"/>
              </w:rPr>
              <w:t xml:space="preserve"> □</w:t>
            </w:r>
            <w:r>
              <w:rPr>
                <w:rFonts w:eastAsia="標楷體"/>
              </w:rPr>
              <w:t>不符最新版本課程架構</w:t>
            </w:r>
          </w:p>
        </w:tc>
      </w:tr>
    </w:tbl>
    <w:p w:rsidR="00F729FD" w:rsidRDefault="00F729FD">
      <w:pPr>
        <w:spacing w:line="0" w:lineRule="atLeast"/>
        <w:rPr>
          <w:rFonts w:eastAsia="標楷體"/>
        </w:rPr>
      </w:pPr>
    </w:p>
    <w:tbl>
      <w:tblPr>
        <w:tblW w:w="15669" w:type="dxa"/>
        <w:tblInd w:w="-332" w:type="dxa"/>
        <w:tblLayout w:type="fixed"/>
        <w:tblCellMar>
          <w:left w:w="10" w:type="dxa"/>
          <w:right w:w="10" w:type="dxa"/>
        </w:tblCellMar>
        <w:tblLook w:val="0000" w:firstRow="0" w:lastRow="0" w:firstColumn="0" w:lastColumn="0" w:noHBand="0" w:noVBand="0"/>
      </w:tblPr>
      <w:tblGrid>
        <w:gridCol w:w="6172"/>
        <w:gridCol w:w="681"/>
        <w:gridCol w:w="4678"/>
        <w:gridCol w:w="4138"/>
      </w:tblGrid>
      <w:tr w:rsidR="00F729FD">
        <w:tblPrEx>
          <w:tblCellMar>
            <w:top w:w="0" w:type="dxa"/>
            <w:bottom w:w="0" w:type="dxa"/>
          </w:tblCellMar>
        </w:tblPrEx>
        <w:trPr>
          <w:cantSplit/>
        </w:trPr>
        <w:tc>
          <w:tcPr>
            <w:tcW w:w="6172" w:type="dxa"/>
            <w:vMerge w:val="restart"/>
            <w:shd w:val="clear" w:color="auto" w:fill="auto"/>
            <w:tcMar>
              <w:top w:w="0" w:type="dxa"/>
              <w:left w:w="28" w:type="dxa"/>
              <w:bottom w:w="0" w:type="dxa"/>
              <w:right w:w="28" w:type="dxa"/>
            </w:tcMar>
          </w:tcPr>
          <w:p w:rsidR="00F729FD" w:rsidRDefault="00F16629">
            <w:pPr>
              <w:rPr>
                <w:rFonts w:eastAsia="標楷體"/>
                <w:b/>
                <w:sz w:val="22"/>
                <w:szCs w:val="22"/>
              </w:rPr>
            </w:pPr>
            <w:r>
              <w:rPr>
                <w:rFonts w:eastAsia="標楷體"/>
                <w:b/>
                <w:sz w:val="22"/>
                <w:szCs w:val="22"/>
              </w:rPr>
              <w:t>說明：</w:t>
            </w:r>
          </w:p>
          <w:p w:rsidR="00F729FD" w:rsidRDefault="00F16629">
            <w:pPr>
              <w:pStyle w:val="a3"/>
              <w:numPr>
                <w:ilvl w:val="0"/>
                <w:numId w:val="1"/>
              </w:numPr>
              <w:tabs>
                <w:tab w:val="left" w:pos="-5338"/>
              </w:tabs>
              <w:ind w:left="499" w:hanging="499"/>
            </w:pPr>
            <w:r>
              <w:rPr>
                <w:sz w:val="22"/>
                <w:szCs w:val="22"/>
                <w:shd w:val="clear" w:color="auto" w:fill="FFFFFF"/>
              </w:rPr>
              <w:t>學生申請抵免應於甄選進入教育學程之當年開學後一個月內至師資培育中心填具申請表</w:t>
            </w:r>
            <w:r>
              <w:rPr>
                <w:sz w:val="22"/>
                <w:szCs w:val="22"/>
              </w:rPr>
              <w:t>，並繳交該科上課大綱及成績單正本乙份。</w:t>
            </w:r>
          </w:p>
          <w:p w:rsidR="00F729FD" w:rsidRDefault="00F16629">
            <w:pPr>
              <w:pStyle w:val="a3"/>
              <w:numPr>
                <w:ilvl w:val="0"/>
                <w:numId w:val="1"/>
              </w:numPr>
              <w:tabs>
                <w:tab w:val="left" w:pos="-5338"/>
              </w:tabs>
              <w:ind w:left="499" w:hanging="499"/>
              <w:rPr>
                <w:sz w:val="22"/>
                <w:szCs w:val="22"/>
              </w:rPr>
            </w:pPr>
            <w:r>
              <w:rPr>
                <w:sz w:val="22"/>
                <w:szCs w:val="22"/>
              </w:rPr>
              <w:t>上表不敷填寫請自行加頁。</w:t>
            </w:r>
          </w:p>
          <w:p w:rsidR="00F729FD" w:rsidRDefault="00F16629">
            <w:pPr>
              <w:pStyle w:val="a3"/>
              <w:numPr>
                <w:ilvl w:val="0"/>
                <w:numId w:val="1"/>
              </w:numPr>
              <w:tabs>
                <w:tab w:val="left" w:pos="-5338"/>
              </w:tabs>
              <w:ind w:left="499" w:hanging="499"/>
            </w:pPr>
            <w:r>
              <w:rPr>
                <w:b/>
                <w:sz w:val="22"/>
                <w:szCs w:val="22"/>
              </w:rPr>
              <w:t>課程編碼查詢：</w:t>
            </w:r>
            <w:r>
              <w:rPr>
                <w:sz w:val="22"/>
                <w:szCs w:val="22"/>
              </w:rPr>
              <w:t>進入本校【課程系統】，選擇【課程標準】查詢，或至師培中心網頁</w:t>
            </w:r>
            <w:r>
              <w:rPr>
                <w:sz w:val="22"/>
                <w:szCs w:val="22"/>
                <w:shd w:val="clear" w:color="auto" w:fill="FFFFFF"/>
              </w:rPr>
              <w:t>教學課程</w:t>
            </w:r>
            <w:r>
              <w:rPr>
                <w:sz w:val="22"/>
                <w:szCs w:val="22"/>
              </w:rPr>
              <w:t>【課程編碼查詢】</w:t>
            </w:r>
            <w:r>
              <w:rPr>
                <w:sz w:val="22"/>
                <w:szCs w:val="22"/>
              </w:rPr>
              <w:t>(</w:t>
            </w:r>
            <w:r>
              <w:rPr>
                <w:sz w:val="22"/>
                <w:szCs w:val="22"/>
              </w:rPr>
              <w:t>請務必填寫正確</w:t>
            </w:r>
            <w:r>
              <w:rPr>
                <w:sz w:val="22"/>
                <w:szCs w:val="22"/>
              </w:rPr>
              <w:t>)</w:t>
            </w:r>
            <w:r>
              <w:rPr>
                <w:sz w:val="22"/>
                <w:szCs w:val="22"/>
              </w:rPr>
              <w:t>。</w:t>
            </w:r>
          </w:p>
          <w:p w:rsidR="00F729FD" w:rsidRDefault="00F16629">
            <w:pPr>
              <w:pStyle w:val="a3"/>
              <w:numPr>
                <w:ilvl w:val="0"/>
                <w:numId w:val="1"/>
              </w:numPr>
              <w:tabs>
                <w:tab w:val="left" w:pos="-5338"/>
              </w:tabs>
              <w:ind w:left="499" w:hanging="499"/>
              <w:rPr>
                <w:sz w:val="22"/>
                <w:szCs w:val="22"/>
              </w:rPr>
            </w:pPr>
            <w:r>
              <w:rPr>
                <w:sz w:val="22"/>
                <w:szCs w:val="22"/>
              </w:rPr>
              <w:t>申請抵免之課程，需為教育學程教育專業課程，有關學分抵免規定請至師資培育中心網頁相關法規【教育學程課程學分抵免要點】查詢。（</w:t>
            </w:r>
            <w:r>
              <w:rPr>
                <w:sz w:val="22"/>
                <w:szCs w:val="22"/>
              </w:rPr>
              <w:t>http://www.tec.ntut.edu.tw</w:t>
            </w:r>
            <w:r>
              <w:rPr>
                <w:sz w:val="22"/>
                <w:szCs w:val="22"/>
              </w:rPr>
              <w:t>）</w:t>
            </w:r>
          </w:p>
        </w:tc>
        <w:tc>
          <w:tcPr>
            <w:tcW w:w="6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729FD">
            <w:pPr>
              <w:spacing w:before="60" w:after="60"/>
              <w:jc w:val="center"/>
              <w:rPr>
                <w:rFonts w:eastAsia="標楷體"/>
                <w:sz w:val="28"/>
              </w:rPr>
            </w:pPr>
          </w:p>
        </w:tc>
        <w:tc>
          <w:tcPr>
            <w:tcW w:w="4678" w:type="dxa"/>
            <w:tcBorders>
              <w:top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16629">
            <w:pPr>
              <w:spacing w:before="60" w:after="60"/>
              <w:jc w:val="center"/>
              <w:rPr>
                <w:rFonts w:eastAsia="標楷體"/>
                <w:spacing w:val="-20"/>
                <w:sz w:val="28"/>
              </w:rPr>
            </w:pPr>
            <w:r>
              <w:rPr>
                <w:rFonts w:eastAsia="標楷體"/>
                <w:spacing w:val="-20"/>
                <w:sz w:val="28"/>
              </w:rPr>
              <w:t>會辦單位：</w:t>
            </w:r>
            <w:r>
              <w:rPr>
                <w:rFonts w:eastAsia="標楷體"/>
                <w:spacing w:val="-20"/>
                <w:sz w:val="28"/>
              </w:rPr>
              <w:t>(</w:t>
            </w:r>
            <w:r>
              <w:rPr>
                <w:rFonts w:eastAsia="標楷體"/>
                <w:spacing w:val="-20"/>
                <w:sz w:val="28"/>
              </w:rPr>
              <w:t>教務處；進修部；進修學院</w:t>
            </w:r>
            <w:r>
              <w:rPr>
                <w:rFonts w:eastAsia="標楷體"/>
                <w:spacing w:val="-20"/>
                <w:sz w:val="28"/>
              </w:rPr>
              <w:t>)</w:t>
            </w:r>
          </w:p>
        </w:tc>
        <w:tc>
          <w:tcPr>
            <w:tcW w:w="4138"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before="60" w:after="60"/>
              <w:ind w:left="57"/>
              <w:jc w:val="center"/>
              <w:rPr>
                <w:rFonts w:eastAsia="標楷體"/>
                <w:sz w:val="28"/>
              </w:rPr>
            </w:pPr>
            <w:r>
              <w:rPr>
                <w:rFonts w:eastAsia="標楷體"/>
                <w:sz w:val="28"/>
              </w:rPr>
              <w:t>師資培育中心</w:t>
            </w:r>
          </w:p>
        </w:tc>
      </w:tr>
      <w:tr w:rsidR="00F729FD">
        <w:tblPrEx>
          <w:tblCellMar>
            <w:top w:w="0" w:type="dxa"/>
            <w:bottom w:w="0" w:type="dxa"/>
          </w:tblCellMar>
        </w:tblPrEx>
        <w:trPr>
          <w:cantSplit/>
          <w:trHeight w:val="2201"/>
        </w:trPr>
        <w:tc>
          <w:tcPr>
            <w:tcW w:w="6172" w:type="dxa"/>
            <w:vMerge/>
            <w:shd w:val="clear" w:color="auto" w:fill="auto"/>
            <w:tcMar>
              <w:top w:w="0" w:type="dxa"/>
              <w:left w:w="28" w:type="dxa"/>
              <w:bottom w:w="0" w:type="dxa"/>
              <w:right w:w="28" w:type="dxa"/>
            </w:tcMar>
          </w:tcPr>
          <w:p w:rsidR="00F729FD" w:rsidRDefault="00F729FD">
            <w:pPr>
              <w:spacing w:before="120" w:after="120"/>
              <w:rPr>
                <w:rFonts w:eastAsia="標楷體"/>
              </w:rPr>
            </w:pPr>
          </w:p>
        </w:tc>
        <w:tc>
          <w:tcPr>
            <w:tcW w:w="6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16629">
            <w:pPr>
              <w:spacing w:before="60" w:after="60"/>
              <w:jc w:val="center"/>
              <w:rPr>
                <w:rFonts w:eastAsia="標楷體"/>
                <w:sz w:val="28"/>
              </w:rPr>
            </w:pPr>
            <w:r>
              <w:rPr>
                <w:rFonts w:eastAsia="標楷體"/>
                <w:sz w:val="28"/>
              </w:rPr>
              <w:t>審查</w:t>
            </w:r>
          </w:p>
          <w:p w:rsidR="00F729FD" w:rsidRDefault="00F16629">
            <w:pPr>
              <w:spacing w:before="60" w:after="60"/>
              <w:jc w:val="center"/>
              <w:rPr>
                <w:rFonts w:eastAsia="標楷體"/>
                <w:sz w:val="28"/>
              </w:rPr>
            </w:pPr>
            <w:r>
              <w:rPr>
                <w:rFonts w:eastAsia="標楷體"/>
                <w:sz w:val="28"/>
              </w:rPr>
              <w:t>意見</w:t>
            </w:r>
          </w:p>
        </w:tc>
        <w:tc>
          <w:tcPr>
            <w:tcW w:w="4678" w:type="dxa"/>
            <w:tcBorders>
              <w:bottom w:val="single" w:sz="12" w:space="0" w:color="000000"/>
              <w:right w:val="single" w:sz="4" w:space="0" w:color="000000"/>
            </w:tcBorders>
            <w:shd w:val="clear" w:color="auto" w:fill="auto"/>
            <w:tcMar>
              <w:top w:w="0" w:type="dxa"/>
              <w:left w:w="28" w:type="dxa"/>
              <w:bottom w:w="0" w:type="dxa"/>
              <w:right w:w="28" w:type="dxa"/>
            </w:tcMar>
            <w:vAlign w:val="center"/>
          </w:tcPr>
          <w:p w:rsidR="00F729FD" w:rsidRDefault="00F729FD">
            <w:pPr>
              <w:spacing w:before="60" w:after="60"/>
              <w:jc w:val="center"/>
              <w:rPr>
                <w:rFonts w:eastAsia="標楷體"/>
                <w:sz w:val="28"/>
              </w:rPr>
            </w:pPr>
          </w:p>
        </w:tc>
        <w:tc>
          <w:tcPr>
            <w:tcW w:w="4138"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729FD" w:rsidRDefault="00F729FD">
            <w:pPr>
              <w:spacing w:before="60" w:after="60"/>
              <w:jc w:val="center"/>
              <w:rPr>
                <w:rFonts w:eastAsia="標楷體"/>
                <w:sz w:val="28"/>
              </w:rPr>
            </w:pPr>
          </w:p>
        </w:tc>
      </w:tr>
    </w:tbl>
    <w:p w:rsidR="00F729FD" w:rsidRDefault="00F16629">
      <w:pPr>
        <w:spacing w:before="120" w:after="120"/>
      </w:pPr>
      <w:r>
        <w:rPr>
          <w:rFonts w:eastAsia="標楷體"/>
          <w:noProof/>
          <w:sz w:val="20"/>
        </w:rPr>
        <mc:AlternateContent>
          <mc:Choice Requires="wps">
            <w:drawing>
              <wp:anchor distT="0" distB="0" distL="114300" distR="114300" simplePos="0" relativeHeight="251656704" behindDoc="0" locked="0" layoutInCell="1" allowOverlap="1">
                <wp:simplePos x="0" y="0"/>
                <wp:positionH relativeFrom="column">
                  <wp:posOffset>8833488</wp:posOffset>
                </wp:positionH>
                <wp:positionV relativeFrom="paragraph">
                  <wp:posOffset>26673</wp:posOffset>
                </wp:positionV>
                <wp:extent cx="826773" cy="291465"/>
                <wp:effectExtent l="0" t="0" r="0" b="0"/>
                <wp:wrapNone/>
                <wp:docPr id="3" name="Text Box 2"/>
                <wp:cNvGraphicFramePr/>
                <a:graphic xmlns:a="http://schemas.openxmlformats.org/drawingml/2006/main">
                  <a:graphicData uri="http://schemas.microsoft.com/office/word/2010/wordprocessingShape">
                    <wps:wsp>
                      <wps:cNvSpPr txBox="1"/>
                      <wps:spPr>
                        <a:xfrm>
                          <a:off x="0" y="0"/>
                          <a:ext cx="826773" cy="291465"/>
                        </a:xfrm>
                        <a:prstGeom prst="rect">
                          <a:avLst/>
                        </a:prstGeom>
                        <a:solidFill>
                          <a:srgbClr val="FFFFFF"/>
                        </a:solidFill>
                        <a:ln>
                          <a:noFill/>
                          <a:prstDash/>
                        </a:ln>
                      </wps:spPr>
                      <wps:txbx>
                        <w:txbxContent>
                          <w:p w:rsidR="00F729FD" w:rsidRDefault="00F16629">
                            <w:r>
                              <w:t>109.06.24</w:t>
                            </w:r>
                          </w:p>
                        </w:txbxContent>
                      </wps:txbx>
                      <wps:bodyPr vert="horz" wrap="square" lIns="91440" tIns="45720" rIns="91440" bIns="45720" anchor="t" anchorCtr="0" compatLnSpc="0">
                        <a:noAutofit/>
                      </wps:bodyPr>
                    </wps:wsp>
                  </a:graphicData>
                </a:graphic>
              </wp:anchor>
            </w:drawing>
          </mc:Choice>
          <mc:Fallback>
            <w:pict>
              <v:shape id="Text Box 2" o:spid="_x0000_s1028" type="#_x0000_t202" style="position:absolute;margin-left:695.55pt;margin-top:2.1pt;width:65.1pt;height:22.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" stroked="f">
                <v:textbox>
                  <w:txbxContent>
                    <w:p w:rsidR="00F729FD" w:rsidRDefault="00F16629">
                      <w:r>
                        <w:t>109.06.24</w:t>
                      </w:r>
                    </w:p>
                  </w:txbxContent>
                </v:textbox>
              </v:shape>
            </w:pict>
          </mc:Fallback>
        </mc:AlternateContent>
      </w:r>
    </w:p>
    <w:sectPr w:rsidR="00F729FD">
      <w:pgSz w:w="16840" w:h="11907" w:orient="landscape"/>
      <w:pgMar w:top="540" w:right="851" w:bottom="539"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29" w:rsidRDefault="00F16629">
      <w:r>
        <w:separator/>
      </w:r>
    </w:p>
  </w:endnote>
  <w:endnote w:type="continuationSeparator" w:id="0">
    <w:p w:rsidR="00F16629" w:rsidRDefault="00F1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29" w:rsidRDefault="00F16629">
      <w:r>
        <w:rPr>
          <w:color w:val="000000"/>
        </w:rPr>
        <w:separator/>
      </w:r>
    </w:p>
  </w:footnote>
  <w:footnote w:type="continuationSeparator" w:id="0">
    <w:p w:rsidR="00F16629" w:rsidRDefault="00F166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422A"/>
    <w:multiLevelType w:val="multilevel"/>
    <w:tmpl w:val="1374C67E"/>
    <w:lvl w:ilvl="0">
      <w:start w:val="1"/>
      <w:numFmt w:val="taiwaneseCountingThousand"/>
      <w:lvlText w:val="%1、"/>
      <w:lvlJc w:val="left"/>
      <w:pPr>
        <w:ind w:left="405" w:hanging="40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29FD"/>
    <w:rsid w:val="00196286"/>
    <w:rsid w:val="00F16629"/>
    <w:rsid w:val="00F72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87ABF-6AEE-4D53-B85F-A642B577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0"/>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character" w:styleId="a8">
    <w:name w:val="Hyperlink"/>
    <w:rPr>
      <w:color w:val="0E62A2"/>
      <w:u w:val="single"/>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國立台北科技大學教育學程科目抵免申請表</dc:title>
  <dc:creator>user</dc:creator>
  <cp:lastModifiedBy>Windows 使用者</cp:lastModifiedBy>
  <cp:revision>2</cp:revision>
  <cp:lastPrinted>2013-11-19T08:13:00Z</cp:lastPrinted>
  <dcterms:created xsi:type="dcterms:W3CDTF">2020-06-24T02:33:00Z</dcterms:created>
  <dcterms:modified xsi:type="dcterms:W3CDTF">2020-06-24T02:33:00Z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網頁資料</vt:lpwstr>
  </property>
  <property fmtid="{D5CDD505-2E9C-101B-9397-08002B2CF9AE}" pid="3" name="_AuthorEmail">
    <vt:lpwstr>yflin@ntut.edu.tw</vt:lpwstr>
  </property>
  <property fmtid="{D5CDD505-2E9C-101B-9397-08002B2CF9AE}" pid="4" name="_AuthorEmailDisplayName">
    <vt:lpwstr>lyf</vt:lpwstr>
  </property>
  <property fmtid="{D5CDD505-2E9C-101B-9397-08002B2CF9AE}" pid="5" name="_ReviewingToolsShownOnce">
    <vt:lpwstr/>
  </property>
</Properties>
</file>